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7ac6bc"/>
          <w:sz w:val="28"/>
          <w:szCs w:val="28"/>
        </w:rPr>
      </w:pPr>
      <w:r w:rsidDel="00000000" w:rsidR="00000000" w:rsidRPr="00000000">
        <w:rPr>
          <w:rFonts w:ascii="Arial" w:cs="Arial" w:eastAsia="Arial" w:hAnsi="Arial"/>
          <w:b w:val="1"/>
          <w:color w:val="7ac6bc"/>
          <w:sz w:val="28"/>
          <w:szCs w:val="28"/>
          <w:rtl w:val="0"/>
        </w:rPr>
        <w:t xml:space="preserve">LYONBIOPÔLE AUVERGNE-RHÔNE-ALPES : </w:t>
        <w:br w:type="textWrapping"/>
        <w:t xml:space="preserve">BILAN 2023 &amp; PERSPECTIVES 2024 </w:t>
        <w:br w:type="textWrapping"/>
        <w:t xml:space="preserve">DANS UN CONTEXTE ÉCONOMIQUE DÉLICAT</w:t>
      </w:r>
      <w:r w:rsidDel="00000000" w:rsidR="00000000" w:rsidRPr="00000000">
        <w:rPr>
          <w:rtl w:val="0"/>
        </w:rPr>
        <w:t xml:space="preserve">     </w:t>
      </w:r>
      <w:r w:rsidDel="00000000" w:rsidR="00000000" w:rsidRPr="00000000">
        <w:rPr>
          <w:rFonts w:ascii="Arial" w:cs="Arial" w:eastAsia="Arial" w:hAnsi="Arial"/>
          <w:b w:val="1"/>
          <w:color w:val="7ac6bc"/>
          <w:sz w:val="28"/>
          <w:szCs w:val="28"/>
          <w:rtl w:val="0"/>
        </w:rPr>
        <w:tab/>
      </w:r>
    </w:p>
    <w:p w:rsidR="00000000" w:rsidDel="00000000" w:rsidP="00000000" w:rsidRDefault="00000000" w:rsidRPr="00000000" w14:paraId="00000002">
      <w:pPr>
        <w:jc w:val="center"/>
        <w:rPr>
          <w:rFonts w:ascii="Arial" w:cs="Arial" w:eastAsia="Arial" w:hAnsi="Arial"/>
          <w:b w:val="1"/>
          <w:color w:val="7ac6bc"/>
          <w:sz w:val="14"/>
          <w:szCs w:val="14"/>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rPr>
      </w:pPr>
      <w:r w:rsidDel="00000000" w:rsidR="00000000" w:rsidRPr="00000000">
        <w:rPr>
          <w:rFonts w:ascii="Arial" w:cs="Arial" w:eastAsia="Arial" w:hAnsi="Arial"/>
          <w:rtl w:val="0"/>
        </w:rPr>
        <w:t xml:space="preserve">Lyon, le 16 janvier 2024 - </w:t>
      </w:r>
      <w:r w:rsidDel="00000000" w:rsidR="00000000" w:rsidRPr="00000000">
        <w:rPr>
          <w:rFonts w:ascii="Arial" w:cs="Arial" w:eastAsia="Arial" w:hAnsi="Arial"/>
          <w:b w:val="1"/>
          <w:rtl w:val="0"/>
        </w:rPr>
        <w:t xml:space="preserve">L'année 2023, bien que positive pour le pôle, a été marquée par des défis économiques considérables dans le secteur de la santé, notamment autour du financement en fonds propres des entreprises, particulièrement impactant pour les sociétés "produits" biotech et medtech. Cette situation a également entraîné un décalage significatif d'activité pour les sociétés de services, générant une détérioration notable de la situation pour nombre d’entre elles. Lyonbiopôle Auvergne-Rhône-Alpes, en tant que pôle d'excellence en santé, n'a pas échappé à ce contexte difficile, avec une baisse de 5</w:t>
      </w:r>
      <w:r w:rsidDel="00000000" w:rsidR="00000000" w:rsidRPr="00000000">
        <w:rPr>
          <w:rtl w:val="0"/>
        </w:rPr>
        <w:t xml:space="preserve"> </w:t>
      </w:r>
      <w:r w:rsidDel="00000000" w:rsidR="00000000" w:rsidRPr="00000000">
        <w:rPr>
          <w:rFonts w:ascii="Arial" w:cs="Arial" w:eastAsia="Arial" w:hAnsi="Arial"/>
          <w:b w:val="1"/>
          <w:rtl w:val="0"/>
        </w:rPr>
        <w:t xml:space="preserve">% du nombre total de ses membres par rapport à l'année précédente malgré l'entrée de 30 nouvelles structures dans son</w:t>
      </w:r>
      <w:r w:rsidDel="00000000" w:rsidR="00000000" w:rsidRPr="00000000">
        <w:rPr>
          <w:rtl w:val="0"/>
        </w:rPr>
        <w:t xml:space="preserve"> </w:t>
      </w:r>
      <w:r w:rsidDel="00000000" w:rsidR="00000000" w:rsidRPr="00000000">
        <w:rPr>
          <w:rFonts w:ascii="Arial" w:cs="Arial" w:eastAsia="Arial" w:hAnsi="Arial"/>
          <w:b w:val="1"/>
          <w:rtl w:val="0"/>
        </w:rPr>
        <w:t xml:space="preserve">réseau. En dépit de ce contexte, le pôle a su poursuivre son engagement pour accompagner ses membres dans leurs projets de croissance et d’innovation tout en portant des initiatives et projets structurants pour l’écosystème santé français.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spacing w:after="200" w:before="300" w:lineRule="auto"/>
        <w:jc w:val="both"/>
        <w:rPr>
          <w:rFonts w:ascii="Arial" w:cs="Arial" w:eastAsia="Arial" w:hAnsi="Arial"/>
          <w:b w:val="1"/>
          <w:color w:val="7ac6bc"/>
          <w:sz w:val="24"/>
          <w:szCs w:val="24"/>
        </w:rPr>
      </w:pPr>
      <w:r w:rsidDel="00000000" w:rsidR="00000000" w:rsidRPr="00000000">
        <w:rPr>
          <w:rFonts w:ascii="Arial" w:cs="Arial" w:eastAsia="Arial" w:hAnsi="Arial"/>
          <w:b w:val="1"/>
          <w:color w:val="7ac6bc"/>
          <w:sz w:val="24"/>
          <w:szCs w:val="24"/>
          <w:rtl w:val="0"/>
        </w:rPr>
        <w:t xml:space="preserve">INITIATIVES CLÉS POUR RELEVER LES DÉFIS</w:t>
      </w:r>
      <w:r w:rsidDel="00000000" w:rsidR="00000000" w:rsidRPr="00000000">
        <w:rPr>
          <w:rtl w:val="0"/>
        </w:rPr>
        <w:t xml:space="preserve"> </w:t>
      </w:r>
      <w:r w:rsidDel="00000000" w:rsidR="00000000" w:rsidRPr="00000000">
        <w:rPr>
          <w:rFonts w:ascii="Arial" w:cs="Arial" w:eastAsia="Arial" w:hAnsi="Arial"/>
          <w:b w:val="1"/>
          <w:color w:val="7ac6bc"/>
          <w:sz w:val="24"/>
          <w:szCs w:val="24"/>
          <w:rtl w:val="0"/>
        </w:rPr>
        <w:t xml:space="preserve">DE DEMAIN EN MATIERE DE SANTE</w:t>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Avec une année marquée par de nombreux défis à relever, Lyonbiopôle Auvergne-Rhône-Alpes a maintenu ses actions et développé sa position stratégique en soutenant des projets structurants majeurs. </w:t>
      </w:r>
      <w:r w:rsidDel="00000000" w:rsidR="00000000" w:rsidRPr="00000000">
        <w:rPr>
          <w:rFonts w:ascii="Arial" w:cs="Arial" w:eastAsia="Arial" w:hAnsi="Arial"/>
          <w:b w:val="1"/>
          <w:rtl w:val="0"/>
        </w:rPr>
        <w:t xml:space="preserve">La labellisation en mai 2023 du projet de biocluster sur les maladies infectieuses BCF2I par le président de la République, </w:t>
      </w:r>
      <w:r w:rsidDel="00000000" w:rsidR="00000000" w:rsidRPr="00000000">
        <w:rPr>
          <w:rFonts w:ascii="Arial" w:cs="Arial" w:eastAsia="Arial" w:hAnsi="Arial"/>
          <w:rtl w:val="0"/>
        </w:rPr>
        <w:t xml:space="preserve">dans le cadre du plan France 2030, a été une étape cruciale. Il vise à accélérer la lutte contre les maladies infectieuses émergentes et l'antibiorésistance, avec le professeur Bruno Lina en tant que futur président, incarnant la détermination du pôle à favoriser et porter des initiatives d’envergure européenne.</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b w:val="1"/>
          <w:rtl w:val="0"/>
        </w:rPr>
        <w:t xml:space="preserve">La phase de Preuve de Concept du Programme d’Accélération Santé Lyonbiopôle Auvergne-Rhône-Alpes</w:t>
      </w:r>
      <w:r w:rsidDel="00000000" w:rsidR="00000000" w:rsidRPr="00000000">
        <w:rPr>
          <w:rFonts w:ascii="Arial" w:cs="Arial" w:eastAsia="Arial" w:hAnsi="Arial"/>
          <w:rtl w:val="0"/>
        </w:rPr>
        <w:t xml:space="preserve"> a connu un succès notable, avec les entreprises Gaoma Therapeutics, Mag4health et Healshape qui ont atteint leurs objectifs en termes de financement, de structuration RH, de stratégie de marché ou de développement produit. Fort de ces résultats, le pôle a lancé son programme d'accélération à l'automne, avec le soutien renouvelé de la Région Auvergne-Rhône-Alpes et la participation de 11 coachs expérimentés et 22 partenaires, offrant un accompagnement diversifié aux entreprises participantes.</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b w:val="1"/>
          <w:rtl w:val="0"/>
        </w:rPr>
        <w:t xml:space="preserve">L'alliance Enosis Santé</w:t>
      </w:r>
      <w:r w:rsidDel="00000000" w:rsidR="00000000" w:rsidRPr="00000000">
        <w:rPr>
          <w:rFonts w:ascii="Arial" w:cs="Arial" w:eastAsia="Arial" w:hAnsi="Arial"/>
          <w:rtl w:val="0"/>
        </w:rPr>
        <w:t xml:space="preserve"> (regroupant les pôles santé :</w:t>
      </w:r>
      <w:r w:rsidDel="00000000" w:rsidR="00000000" w:rsidRPr="00000000">
        <w:rPr>
          <w:rFonts w:ascii="Arial" w:cs="Arial" w:eastAsia="Arial" w:hAnsi="Arial"/>
          <w:color w:val="666666"/>
          <w:sz w:val="27"/>
          <w:szCs w:val="27"/>
          <w:rtl w:val="0"/>
        </w:rPr>
        <w:t xml:space="preserve"> </w:t>
      </w:r>
      <w:r w:rsidDel="00000000" w:rsidR="00000000" w:rsidRPr="00000000">
        <w:rPr>
          <w:rFonts w:ascii="Arial" w:cs="Arial" w:eastAsia="Arial" w:hAnsi="Arial"/>
          <w:rtl w:val="0"/>
        </w:rPr>
        <w:t xml:space="preserve">BioValley France, Eurobiomed, Lyonbiopôle Auvergne-Rhône-Alpes et Medicen Paris Region</w:t>
      </w:r>
      <w:r w:rsidDel="00000000" w:rsidR="00000000" w:rsidRPr="00000000">
        <w:rPr>
          <w:rFonts w:ascii="Arial" w:cs="Arial" w:eastAsia="Arial" w:hAnsi="Arial"/>
          <w:color w:val="666666"/>
          <w:sz w:val="27"/>
          <w:szCs w:val="27"/>
          <w:rtl w:val="0"/>
        </w:rPr>
        <w:t xml:space="preserve">)</w:t>
      </w:r>
      <w:r w:rsidDel="00000000" w:rsidR="00000000" w:rsidRPr="00000000">
        <w:rPr>
          <w:rFonts w:ascii="Arial" w:cs="Arial" w:eastAsia="Arial" w:hAnsi="Arial"/>
          <w:rtl w:val="0"/>
        </w:rPr>
        <w:t xml:space="preserve"> a également marqué l'année en coordonnant des actions nationales avec l’AIS (Agence Innovation Santé) ou Bpifrance, et en contribuant aux objectifs ambitieux de France 2030. Une enquête flash auprès des membres de l’alliance a par ailleurs été réalisée pour évaluer leur trésorerie, soulignant la volonté d’Enosis Santé d'agir concrètement pour soutenir ces acteurs.</w:t>
        <w:br w:type="textWrapping"/>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tl w:val="0"/>
        </w:rPr>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Face aux préoccupations environnementales toujours plus prégnantes, </w:t>
      </w:r>
      <w:r w:rsidDel="00000000" w:rsidR="00000000" w:rsidRPr="00000000">
        <w:rPr>
          <w:rFonts w:ascii="Arial" w:cs="Arial" w:eastAsia="Arial" w:hAnsi="Arial"/>
          <w:b w:val="1"/>
          <w:rtl w:val="0"/>
        </w:rPr>
        <w:t xml:space="preserve">Lyonbiopôle Auvergne-Rhône-Alpes a mis en place des actions concrètes en faveur de la responsabilité sociétale des entreprises (RSE) pour ses adhérents.</w:t>
      </w:r>
      <w:r w:rsidDel="00000000" w:rsidR="00000000" w:rsidRPr="00000000">
        <w:rPr>
          <w:rFonts w:ascii="Arial" w:cs="Arial" w:eastAsia="Arial" w:hAnsi="Arial"/>
          <w:rtl w:val="0"/>
        </w:rPr>
        <w:t xml:space="preserve"> La création d'un groupe de travail "Décarboner la R&amp;D en santé" porté par genOway, une de ses membres</w:t>
      </w:r>
      <w:r w:rsidDel="00000000" w:rsidR="00000000" w:rsidRPr="00000000">
        <w:rPr>
          <w:rtl w:val="0"/>
        </w:rPr>
        <w:t xml:space="preserve">     </w:t>
      </w:r>
      <w:r w:rsidDel="00000000" w:rsidR="00000000" w:rsidRPr="00000000">
        <w:rPr>
          <w:rFonts w:ascii="Arial" w:cs="Arial" w:eastAsia="Arial" w:hAnsi="Arial"/>
          <w:rtl w:val="0"/>
        </w:rPr>
        <w:t xml:space="preserve"> précurseur sur le sujet, a mobilisé 22 structures régionales (grands groupes, laboratoires de recherche et PME) pour construire des solutions collectives visant à réduire l'impact carbone du secteur. Les premiers résultats des 5 ateliers qui ont rythmé l’année portent sur le développement d’un consommable « bas carbone ». Ainsi, un cahier des charges est en cours de construction afin d’évaluer sa faisabilité technique et économique. Par ailleurs, la thématique de la sobriété numérique a été identifiée dans le cadre du futur groupe de travail du numérique en santé.</w:t>
      </w:r>
    </w:p>
    <w:p w:rsidR="00000000" w:rsidDel="00000000" w:rsidP="00000000" w:rsidRDefault="00000000" w:rsidRPr="00000000" w14:paraId="0000000C">
      <w:pPr>
        <w:spacing w:after="200" w:before="240" w:lineRule="auto"/>
        <w:jc w:val="both"/>
        <w:rPr>
          <w:rFonts w:ascii="Arial" w:cs="Arial" w:eastAsia="Arial" w:hAnsi="Arial"/>
          <w:b w:val="1"/>
          <w:color w:val="7ac6bc"/>
          <w:sz w:val="24"/>
          <w:szCs w:val="24"/>
        </w:rPr>
      </w:pPr>
      <w:r w:rsidDel="00000000" w:rsidR="00000000" w:rsidRPr="00000000">
        <w:rPr>
          <w:rFonts w:ascii="Arial" w:cs="Arial" w:eastAsia="Arial" w:hAnsi="Arial"/>
          <w:b w:val="1"/>
          <w:color w:val="7ac6bc"/>
          <w:sz w:val="24"/>
          <w:szCs w:val="24"/>
          <w:rtl w:val="0"/>
        </w:rPr>
        <w:t xml:space="preserve">UN BILAN D’ACTIVITE 2023 POSITIF GRÂCE À SES INITIATIVES IMPACTANTES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Avec </w:t>
      </w:r>
      <w:r w:rsidDel="00000000" w:rsidR="00000000" w:rsidRPr="00000000">
        <w:rPr>
          <w:rFonts w:ascii="Arial" w:cs="Arial" w:eastAsia="Arial" w:hAnsi="Arial"/>
          <w:b w:val="1"/>
          <w:rtl w:val="0"/>
        </w:rPr>
        <w:t xml:space="preserve">76 événements organisés en 2023, réunissant plus de 2 700 participants</w:t>
      </w:r>
      <w:r w:rsidDel="00000000" w:rsidR="00000000" w:rsidRPr="00000000">
        <w:rPr>
          <w:rFonts w:ascii="Arial" w:cs="Arial" w:eastAsia="Arial" w:hAnsi="Arial"/>
          <w:rtl w:val="0"/>
        </w:rPr>
        <w:t xml:space="preserve">, le pôle a continué d'animer un écosystème expert et dynamique. Des journées scientifiques, des ateliers, des formations, des groupes métiers, des dispositifs d’informations économiques, réglementaires et financiers ont rythmé cette année.</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Sur le volet de l'innovation, </w:t>
      </w:r>
      <w:r w:rsidDel="00000000" w:rsidR="00000000" w:rsidRPr="00000000">
        <w:rPr>
          <w:rFonts w:ascii="Arial" w:cs="Arial" w:eastAsia="Arial" w:hAnsi="Arial"/>
          <w:b w:val="1"/>
          <w:rtl w:val="0"/>
        </w:rPr>
        <w:t xml:space="preserve">200 projets ont été accompagnés, dont 99 ont atteint le stade du dépôt, avec 43 projets financés</w:t>
      </w:r>
      <w:r w:rsidDel="00000000" w:rsidR="00000000" w:rsidRPr="00000000">
        <w:rPr>
          <w:rFonts w:ascii="Arial" w:cs="Arial" w:eastAsia="Arial" w:hAnsi="Arial"/>
          <w:rtl w:val="0"/>
        </w:rPr>
        <w:t xml:space="preserve"> pour un montant total de </w:t>
      </w:r>
      <w:r w:rsidDel="00000000" w:rsidR="00000000" w:rsidRPr="00000000">
        <w:rPr>
          <w:rFonts w:ascii="Arial" w:cs="Arial" w:eastAsia="Arial" w:hAnsi="Arial"/>
          <w:b w:val="1"/>
          <w:rtl w:val="0"/>
        </w:rPr>
        <w:t xml:space="preserve">109 M€, dont 55 M€ d'aides publiques</w:t>
      </w:r>
      <w:r w:rsidDel="00000000" w:rsidR="00000000" w:rsidRPr="00000000">
        <w:rPr>
          <w:rFonts w:ascii="Arial" w:cs="Arial" w:eastAsia="Arial" w:hAnsi="Arial"/>
          <w:rtl w:val="0"/>
        </w:rPr>
        <w:t xml:space="preserve">.</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Par ailleurs, Lyonbiopôle Auvergne-Rhône-Alpes a démontré son engagement indéfectible envers les entreprises du secteur de la santé en intensifiant son accompagnement. Outre les projets structurants tels que le Programme d’Accélération Santé et la Preuve de Concept d’une activité de Conseil en stratégie et gouvernance, l'équipe du pôle a réalisé une revue individuelle de la stratégie de développement et de financement de plus de vingt entreprises. </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De même, malgré la conjoncture, </w:t>
      </w:r>
      <w:r w:rsidDel="00000000" w:rsidR="00000000" w:rsidRPr="00000000">
        <w:rPr>
          <w:rFonts w:ascii="Arial" w:cs="Arial" w:eastAsia="Arial" w:hAnsi="Arial"/>
          <w:b w:val="1"/>
          <w:rtl w:val="0"/>
        </w:rPr>
        <w:t xml:space="preserve">240 M€ ont été levés par ses membres,</w:t>
      </w:r>
      <w:r w:rsidDel="00000000" w:rsidR="00000000" w:rsidRPr="00000000">
        <w:rPr>
          <w:rFonts w:ascii="Arial" w:cs="Arial" w:eastAsia="Arial" w:hAnsi="Arial"/>
          <w:rtl w:val="0"/>
        </w:rPr>
        <w:t xml:space="preserve"> démontrant que l'attractivité de cet écosystème demeure.</w:t>
      </w:r>
    </w:p>
    <w:p w:rsidR="00000000" w:rsidDel="00000000" w:rsidP="00000000" w:rsidRDefault="00000000" w:rsidRPr="00000000" w14:paraId="00000011">
      <w:pPr>
        <w:jc w:val="both"/>
        <w:rPr>
          <w:rFonts w:ascii="Arial" w:cs="Arial" w:eastAsia="Arial" w:hAnsi="Arial"/>
        </w:rPr>
      </w:pPr>
      <w:r w:rsidDel="00000000" w:rsidR="00000000" w:rsidRPr="00000000">
        <w:rPr>
          <w:rFonts w:ascii="Arial" w:cs="Arial" w:eastAsia="Arial" w:hAnsi="Arial"/>
          <w:rtl w:val="0"/>
        </w:rPr>
        <w:t xml:space="preserve">Sur le volet de la formation et des ressources humaines, Lyonbiopôle Auvergne-Rhône-Alpes a consolidé ses efforts en animant </w:t>
      </w:r>
      <w:r w:rsidDel="00000000" w:rsidR="00000000" w:rsidRPr="00000000">
        <w:rPr>
          <w:rFonts w:ascii="Arial" w:cs="Arial" w:eastAsia="Arial" w:hAnsi="Arial"/>
          <w:b w:val="1"/>
          <w:rtl w:val="0"/>
        </w:rPr>
        <w:t xml:space="preserve">un Club RH réunissant une quarantaine d'entreprises membres actives</w:t>
      </w:r>
      <w:r w:rsidDel="00000000" w:rsidR="00000000" w:rsidRPr="00000000">
        <w:rPr>
          <w:rFonts w:ascii="Arial" w:cs="Arial" w:eastAsia="Arial" w:hAnsi="Arial"/>
          <w:rtl w:val="0"/>
        </w:rPr>
        <w:t xml:space="preserve">. Les outils développés pour faciliter le recrutement au sein de l'écosystème ont connu une croissance significative</w:t>
      </w:r>
      <w:r w:rsidDel="00000000" w:rsidR="00000000" w:rsidRPr="00000000">
        <w:rPr>
          <w:rFonts w:ascii="Arial" w:cs="Arial" w:eastAsia="Arial" w:hAnsi="Arial"/>
          <w:b w:val="1"/>
          <w:rtl w:val="0"/>
        </w:rPr>
        <w:t xml:space="preserve">. Son jobboard spécial Industries de santé</w:t>
      </w:r>
      <w:r w:rsidDel="00000000" w:rsidR="00000000" w:rsidRPr="00000000">
        <w:rPr>
          <w:rFonts w:ascii="Arial" w:cs="Arial" w:eastAsia="Arial" w:hAnsi="Arial"/>
          <w:rtl w:val="0"/>
        </w:rPr>
        <w:t xml:space="preserve"> en région Auvergne Rhône-Alpes rassemble désormais plus de 165 offres d'emploi et 500 CV, tout en cumulant plus de 2 000 visites mensuelles. L'organisation du </w:t>
      </w:r>
      <w:r w:rsidDel="00000000" w:rsidR="00000000" w:rsidRPr="00000000">
        <w:rPr>
          <w:rFonts w:ascii="Arial" w:cs="Arial" w:eastAsia="Arial" w:hAnsi="Arial"/>
          <w:b w:val="1"/>
          <w:rtl w:val="0"/>
        </w:rPr>
        <w:t xml:space="preserve">second jobdating virtuel</w:t>
      </w:r>
      <w:r w:rsidDel="00000000" w:rsidR="00000000" w:rsidRPr="00000000">
        <w:rPr>
          <w:rFonts w:ascii="Arial" w:cs="Arial" w:eastAsia="Arial" w:hAnsi="Arial"/>
          <w:rtl w:val="0"/>
        </w:rPr>
        <w:t xml:space="preserve"> en partenariat avec Pôle emploi a été un succès, réunissant 255 participants, 30 entreprises et 215 candidats, favorisant ainsi les rencontres et les échanges.</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Enfin sur le plan international, Lyonbiopôle Auvergne-Rhône-Alpes a joué un rôle actif avec la participation de </w:t>
      </w:r>
      <w:r w:rsidDel="00000000" w:rsidR="00000000" w:rsidRPr="00000000">
        <w:rPr>
          <w:rFonts w:ascii="Arial" w:cs="Arial" w:eastAsia="Arial" w:hAnsi="Arial"/>
          <w:b w:val="1"/>
          <w:rtl w:val="0"/>
        </w:rPr>
        <w:t xml:space="preserve">91 entreprises à 10 événements en Asie, Europe et Amérique du Nord</w:t>
      </w:r>
      <w:r w:rsidDel="00000000" w:rsidR="00000000" w:rsidRPr="00000000">
        <w:rPr>
          <w:rFonts w:ascii="Arial" w:cs="Arial" w:eastAsia="Arial" w:hAnsi="Arial"/>
          <w:rtl w:val="0"/>
        </w:rPr>
        <w:t xml:space="preserve">. Cette présence renforcée sur la scène internationale témoigne de la volonté du pôle de favoriser la collaboration mondiale dans le domaine de la santé et de renforcer la position de ses membres sur la scène internationale.</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p w:rsidR="00000000" w:rsidDel="00000000" w:rsidP="00000000" w:rsidRDefault="00000000" w:rsidRPr="00000000" w14:paraId="00000015">
      <w:pPr>
        <w:jc w:val="both"/>
        <w:rPr>
          <w:rFonts w:ascii="Arial" w:cs="Arial" w:eastAsia="Arial" w:hAnsi="Arial"/>
        </w:rPr>
      </w:pPr>
      <w:r w:rsidDel="00000000" w:rsidR="00000000" w:rsidRPr="00000000">
        <w:rPr>
          <w:rtl w:val="0"/>
        </w:rPr>
      </w:r>
    </w:p>
    <w:p w:rsidR="00000000" w:rsidDel="00000000" w:rsidP="00000000" w:rsidRDefault="00000000" w:rsidRPr="00000000" w14:paraId="00000016">
      <w:pPr>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after="200" w:before="300" w:lineRule="auto"/>
        <w:jc w:val="both"/>
        <w:rPr>
          <w:rFonts w:ascii="Arial" w:cs="Arial" w:eastAsia="Arial" w:hAnsi="Arial"/>
          <w:b w:val="1"/>
          <w:color w:val="7ac6bc"/>
          <w:sz w:val="24"/>
          <w:szCs w:val="24"/>
        </w:rPr>
      </w:pPr>
      <w:r w:rsidDel="00000000" w:rsidR="00000000" w:rsidRPr="00000000">
        <w:rPr>
          <w:rFonts w:ascii="Arial" w:cs="Arial" w:eastAsia="Arial" w:hAnsi="Arial"/>
          <w:b w:val="1"/>
          <w:color w:val="7ac6bc"/>
          <w:sz w:val="24"/>
          <w:szCs w:val="24"/>
          <w:rtl w:val="0"/>
        </w:rPr>
        <w:t xml:space="preserve">PERSPECTIVES 2024</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L'année 2024 s'annonce comme une période clef, marquée par la concrétisation de projets majeurs pour le pôle. Au début de l'année, la création officielle du biocluster est prévue et sera accompagnée de la nomination de son Directeur Général. Parallèlement, l'alliance Enosis Santé continuera de promouvoir une collaboration étroite entre les initiatives territoriales et la structuration des filières stratégiques nationales, tout en déployant le Plan Santé France 2030. Le pôle va poursuivre son développement d’une offre experte à destination de son écosystème avec son nouveau programme d’accélération, la contribution au déploiement du biocluster BCF2I, la mise en lien de PME santé avec de nouvelles structures comme les tiers lieux d’innovation qui se déploient dans la région, ou encore la poursuite et l’amplification des groupes de travail décarbonation et sobriété digitale.</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i w:val="1"/>
          <w:rtl w:val="0"/>
        </w:rPr>
        <w:t xml:space="preserve">"Les résultats positifs de l'année 2023, dans un contexte particulièrement contraint pour le secteur, témoignent de l'engagement continu de Lyonbiopôle Auvergne-Rhône-Alpes en faveur de la recherche, de l'innovation et du soutien aux entreprises et partenaires académiques du domaine de la santé. Ces réussites sont le fruit d'une collaboration exceptionnelle des acteurs de l’écosystème d’Auvergne-Rhône-Alpes et de l'engagement de toute notre équipe" </w:t>
      </w:r>
      <w:r w:rsidDel="00000000" w:rsidR="00000000" w:rsidRPr="00000000">
        <w:rPr>
          <w:rFonts w:ascii="Arial" w:cs="Arial" w:eastAsia="Arial" w:hAnsi="Arial"/>
          <w:rtl w:val="0"/>
        </w:rPr>
        <w:t xml:space="preserve">souligne Florence Agostino-Etchetto, Directrice Générale de Lyonbiopôle.</w:t>
      </w:r>
    </w:p>
    <w:p w:rsidR="00000000" w:rsidDel="00000000" w:rsidP="00000000" w:rsidRDefault="00000000" w:rsidRPr="00000000" w14:paraId="0000001A">
      <w:pPr>
        <w:jc w:val="both"/>
        <w:rPr>
          <w:rFonts w:ascii="Arial" w:cs="Arial" w:eastAsia="Arial" w:hAnsi="Arial"/>
          <w:i w:val="1"/>
        </w:rPr>
      </w:pPr>
      <w:r w:rsidDel="00000000" w:rsidR="00000000" w:rsidRPr="00000000">
        <w:rPr>
          <w:rFonts w:ascii="Arial" w:cs="Arial" w:eastAsia="Arial" w:hAnsi="Arial"/>
          <w:rtl w:val="0"/>
        </w:rPr>
        <w:t xml:space="preserve">Ces actions concertées sont destinées à maintenir la position prééminente du pôle en 2024 en tant qu'acteur clé de l'innovation dans le secteur de la santé. Philippe Sans, Président de Lyonbiopôle, conclut </w:t>
      </w:r>
      <w:r w:rsidDel="00000000" w:rsidR="00000000" w:rsidRPr="00000000">
        <w:rPr>
          <w:rFonts w:ascii="Arial" w:cs="Arial" w:eastAsia="Arial" w:hAnsi="Arial"/>
          <w:i w:val="1"/>
          <w:rtl w:val="0"/>
        </w:rPr>
        <w:t xml:space="preserve">"les perspectives pour 2024 reflètent notre détermination à surmonter les obstacles économiques tout en renforçant notre rôle de moteur de l'innovation en santé. Ces initiatives audacieuses permettront de consolider la position du pôle et de contribuer de manière significative au progrès et à l'évolution du secteur de la santé au cours de l'année à venir."</w:t>
      </w:r>
    </w:p>
    <w:p w:rsidR="00000000" w:rsidDel="00000000" w:rsidP="00000000" w:rsidRDefault="00000000" w:rsidRPr="00000000" w14:paraId="0000001B">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À PROPOS DE LYONBIOPÔLE AUVERGNE-RHÔNE-ALPES</w:t>
        <w:tab/>
        <w:br w:type="textWrapping"/>
      </w:r>
      <w:r w:rsidDel="00000000" w:rsidR="00000000" w:rsidRPr="00000000">
        <w:rPr>
          <w:rFonts w:ascii="Arial" w:cs="Arial" w:eastAsia="Arial" w:hAnsi="Arial"/>
          <w:sz w:val="18"/>
          <w:szCs w:val="18"/>
          <w:rtl w:val="0"/>
        </w:rPr>
        <w:br w:type="textWrapping"/>
        <w:t xml:space="preserve">Labellisé pôle de compétitivité dès sa création en 2005, Lyonbiopôle Auvergne-Rhône-Alpes est le catalyseur de l’écosystème d’innovation santé en Auvergne-Rhône-Alpes, dont il assure la connexion, le développement et la promotion. En tant qu’expert du marché de la santé, le pôle soutient les projets et les entreprises biotech, medtech/diagnostic in vitro et digital health-tech et a pour vocation de renforcer le développement d’innovations technologiques, produits et services pour relever les défis du secteur. Il construit des passerelles et met en place des actions avec le monde hospitalier et clinique de la région. </w:t>
      </w:r>
    </w:p>
    <w:p w:rsidR="00000000" w:rsidDel="00000000" w:rsidP="00000000" w:rsidRDefault="00000000" w:rsidRPr="00000000" w14:paraId="0000001D">
      <w:pPr>
        <w:spacing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Aujourd’hui Lyonbiopôle Auvergne-Rhône-Alpes rassemble, conseille et accompagne 256 adhérents - entreprises, académiques et hospitaliers – dans leurs projets d'innovation, de croissance, d’internationalisation ou d’hébergement. Parmi ses membres, on compte 6 fondateurs (4 industriels majeurs : Sanofi, bioMérieux, Boehringer Ingelheim Santé Animale, Becton Dickinson, le CEA et la Fondation Mérieux), 15 Grands Groupes, filiales et ETI, 208 PME innovantes, 15 centres de recherche et de formation, 6 établissements de soin et de recherche, 1 collectivité locale et 5 membres associés. Pour en savoir plus : </w:t>
      </w:r>
      <w:hyperlink r:id="rId7">
        <w:r w:rsidDel="00000000" w:rsidR="00000000" w:rsidRPr="00000000">
          <w:rPr>
            <w:rFonts w:ascii="Arial" w:cs="Arial" w:eastAsia="Arial" w:hAnsi="Arial"/>
            <w:color w:val="0563c1"/>
            <w:sz w:val="18"/>
            <w:szCs w:val="18"/>
            <w:u w:val="single"/>
            <w:rtl w:val="0"/>
          </w:rPr>
          <w:t xml:space="preserve">www.lyonbiopole.com</w:t>
        </w:r>
      </w:hyperlink>
      <w:r w:rsidDel="00000000" w:rsidR="00000000" w:rsidRPr="00000000">
        <w:rPr>
          <w:rtl w:val="0"/>
        </w:rPr>
      </w:r>
    </w:p>
    <w:p w:rsidR="00000000" w:rsidDel="00000000" w:rsidP="00000000" w:rsidRDefault="00000000" w:rsidRPr="00000000" w14:paraId="0000001E">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CONTACT MÉDIAS</w:t>
        <w:br w:type="textWrapping"/>
        <w:t xml:space="preserve">Agence Monet</w:t>
      </w:r>
      <w:r w:rsidDel="00000000" w:rsidR="00000000" w:rsidRPr="00000000">
        <w:rPr>
          <w:rFonts w:ascii="Arial" w:cs="Arial" w:eastAsia="Arial" w:hAnsi="Arial"/>
          <w:sz w:val="18"/>
          <w:szCs w:val="18"/>
          <w:rtl w:val="0"/>
        </w:rPr>
        <w:t xml:space="preserve"> </w:t>
        <w:tab/>
        <w:tab/>
        <w:tab/>
        <w:tab/>
        <w:tab/>
        <w:tab/>
      </w:r>
      <w:r w:rsidDel="00000000" w:rsidR="00000000" w:rsidRPr="00000000">
        <w:rPr>
          <w:rFonts w:ascii="Arial" w:cs="Arial" w:eastAsia="Arial" w:hAnsi="Arial"/>
          <w:b w:val="1"/>
          <w:sz w:val="18"/>
          <w:szCs w:val="18"/>
          <w:rtl w:val="0"/>
        </w:rPr>
        <w:t xml:space="preserve">Lyonbiopôle Auvergne-Rhône-Alpes</w:t>
      </w:r>
      <w:r w:rsidDel="00000000" w:rsidR="00000000" w:rsidRPr="00000000">
        <w:rPr>
          <w:rFonts w:ascii="Arial" w:cs="Arial" w:eastAsia="Arial" w:hAnsi="Arial"/>
          <w:sz w:val="18"/>
          <w:szCs w:val="18"/>
          <w:rtl w:val="0"/>
        </w:rPr>
        <w:br w:type="textWrapping"/>
        <w:t xml:space="preserve">04 78 37 34 64</w:t>
        <w:br w:type="textWrapping"/>
        <w:t xml:space="preserve">Alice Gobert – </w:t>
      </w:r>
      <w:hyperlink r:id="rId8">
        <w:r w:rsidDel="00000000" w:rsidR="00000000" w:rsidRPr="00000000">
          <w:rPr>
            <w:rFonts w:ascii="Arial" w:cs="Arial" w:eastAsia="Arial" w:hAnsi="Arial"/>
            <w:color w:val="0563c1"/>
            <w:sz w:val="18"/>
            <w:szCs w:val="18"/>
            <w:u w:val="single"/>
            <w:rtl w:val="0"/>
          </w:rPr>
          <w:t xml:space="preserve">a.gobert@monet-rp.com</w:t>
        </w:r>
      </w:hyperlink>
      <w:r w:rsidDel="00000000" w:rsidR="00000000" w:rsidRPr="00000000">
        <w:rPr>
          <w:rFonts w:ascii="Arial" w:cs="Arial" w:eastAsia="Arial" w:hAnsi="Arial"/>
          <w:color w:val="0000ff"/>
          <w:sz w:val="18"/>
          <w:szCs w:val="18"/>
          <w:rtl w:val="0"/>
        </w:rPr>
        <w:tab/>
        <w:tab/>
        <w:tab/>
      </w:r>
      <w:r w:rsidDel="00000000" w:rsidR="00000000" w:rsidRPr="00000000">
        <w:rPr>
          <w:rFonts w:ascii="Arial" w:cs="Arial" w:eastAsia="Arial" w:hAnsi="Arial"/>
          <w:sz w:val="18"/>
          <w:szCs w:val="18"/>
          <w:rtl w:val="0"/>
        </w:rPr>
        <w:t xml:space="preserve">Stéphanie Pelege – Directrice Communication Mélanie Da Rui-Pons – </w:t>
      </w:r>
      <w:hyperlink r:id="rId9">
        <w:r w:rsidDel="00000000" w:rsidR="00000000" w:rsidRPr="00000000">
          <w:rPr>
            <w:rFonts w:ascii="Arial" w:cs="Arial" w:eastAsia="Arial" w:hAnsi="Arial"/>
            <w:color w:val="0563c1"/>
            <w:sz w:val="18"/>
            <w:szCs w:val="18"/>
            <w:u w:val="single"/>
            <w:rtl w:val="0"/>
          </w:rPr>
          <w:t xml:space="preserve">mr@monet-rp.com</w:t>
        </w:r>
      </w:hyperlink>
      <w:r w:rsidDel="00000000" w:rsidR="00000000" w:rsidRPr="00000000">
        <w:rPr>
          <w:rFonts w:ascii="Arial" w:cs="Arial" w:eastAsia="Arial" w:hAnsi="Arial"/>
          <w:color w:val="0563c1"/>
          <w:sz w:val="18"/>
          <w:szCs w:val="18"/>
          <w:rtl w:val="0"/>
        </w:rPr>
        <w:tab/>
        <w:tab/>
        <w:tab/>
      </w:r>
      <w:hyperlink r:id="rId10">
        <w:r w:rsidDel="00000000" w:rsidR="00000000" w:rsidRPr="00000000">
          <w:rPr>
            <w:rFonts w:ascii="Arial" w:cs="Arial" w:eastAsia="Arial" w:hAnsi="Arial"/>
            <w:color w:val="0563c1"/>
            <w:sz w:val="18"/>
            <w:szCs w:val="18"/>
            <w:u w:val="single"/>
            <w:rtl w:val="0"/>
          </w:rPr>
          <w:t xml:space="preserve">stephanie.pelege@lyonbiopole.com</w:t>
        </w:r>
      </w:hyperlink>
      <w:r w:rsidDel="00000000" w:rsidR="00000000" w:rsidRPr="00000000">
        <w:rPr>
          <w:rtl w:val="0"/>
        </w:rPr>
      </w:r>
    </w:p>
    <w:sectPr>
      <w:headerReference r:id="rId11"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stephanie.pelege@lyonbiopole.com" TargetMode="External"/><Relationship Id="rId9" Type="http://schemas.openxmlformats.org/officeDocument/2006/relationships/hyperlink" Target="mailto:mr@monet-rp.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yonbiopole.com/" TargetMode="External"/><Relationship Id="rId8" Type="http://schemas.openxmlformats.org/officeDocument/2006/relationships/hyperlink" Target="mailto:a.gobert@monet-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5aXDrX6V7p4l5tyqApVsRhZdyQ==">CgMxLjA4AHIhMUFPVDdhb2FTbUJ6WW1PTHpGcjhuaTl4OGIyWVR4dU4y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0x0101002263D3B29CEF2A47BC732D8E421196F0</vt:lpwstr>
  </property>
</Properties>
</file>